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E" w:rsidRDefault="005E0CEE" w:rsidP="00242F43">
      <w:pPr>
        <w:pStyle w:val="Sommario1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2"/>
      </w:tblGrid>
      <w:tr w:rsidR="005E0CEE" w:rsidTr="00D66787">
        <w:trPr>
          <w:cantSplit/>
          <w:tblHeader/>
          <w:jc w:val="center"/>
        </w:trPr>
        <w:tc>
          <w:tcPr>
            <w:tcW w:w="101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CORSO DI FORMAZIONE PER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ASPIRANTI GUARDIE ECOLOGICHE VOLONTARIE 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ANNO 2015</w:t>
            </w:r>
          </w:p>
          <w:p w:rsidR="005E0CEE" w:rsidRDefault="005E0CEE" w:rsidP="00D66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CALENDARIO GENERALE</w:t>
            </w:r>
          </w:p>
        </w:tc>
      </w:tr>
    </w:tbl>
    <w:p w:rsidR="005E0CEE" w:rsidRDefault="005E0CEE" w:rsidP="00242F43">
      <w:pPr>
        <w:jc w:val="center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2"/>
      </w:tblGrid>
      <w:tr w:rsidR="005E0CEE" w:rsidTr="28711715">
        <w:trPr>
          <w:cantSplit/>
          <w:tblHeader/>
          <w:jc w:val="center"/>
        </w:trPr>
        <w:tc>
          <w:tcPr>
            <w:tcW w:w="101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Modulo didattico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  <w:color w:val="FF0000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Le lezioni si terranno tutti i lunedì e mercoledì a partire dal 2 novembre 2015 al 24 febbraio 2016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dalle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ore 20.30 alle ore 23.30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esclusi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i giorni festivi</w:t>
            </w:r>
          </w:p>
        </w:tc>
      </w:tr>
    </w:tbl>
    <w:p w:rsidR="005E0CEE" w:rsidRDefault="005E0CEE" w:rsidP="00242F43">
      <w:pPr>
        <w:jc w:val="center"/>
      </w:pPr>
    </w:p>
    <w:p w:rsidR="005E0CEE" w:rsidRDefault="005E0CEE" w:rsidP="00242F43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895"/>
        <w:gridCol w:w="6723"/>
        <w:gridCol w:w="1243"/>
        <w:gridCol w:w="2260"/>
        <w:gridCol w:w="1266"/>
      </w:tblGrid>
      <w:tr w:rsidR="005E0CEE" w:rsidTr="003536A3">
        <w:tc>
          <w:tcPr>
            <w:tcW w:w="463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N°</w:t>
            </w:r>
          </w:p>
        </w:tc>
        <w:tc>
          <w:tcPr>
            <w:tcW w:w="2895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Titoli lezioni</w:t>
            </w:r>
          </w:p>
        </w:tc>
        <w:tc>
          <w:tcPr>
            <w:tcW w:w="6723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Contenuti lezioni</w:t>
            </w:r>
          </w:p>
        </w:tc>
        <w:tc>
          <w:tcPr>
            <w:tcW w:w="1243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2260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Relatori</w:t>
            </w:r>
          </w:p>
        </w:tc>
        <w:tc>
          <w:tcPr>
            <w:tcW w:w="12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Presentazione del </w:t>
            </w:r>
            <w:proofErr w:type="gramStart"/>
            <w:r>
              <w:rPr>
                <w:rFonts w:ascii="Arial" w:hAnsi="Arial"/>
                <w:b/>
                <w:sz w:val="22"/>
              </w:rPr>
              <w:t>corso  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della figura della G.E.V.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Titolo8"/>
              <w:tabs>
                <w:tab w:val="left" w:pos="649"/>
              </w:tabs>
              <w:spacing w:before="0"/>
              <w:jc w:val="left"/>
              <w:rPr>
                <w:b w:val="0"/>
                <w:smallCaps w:val="0"/>
                <w:spacing w:val="0"/>
                <w:sz w:val="20"/>
                <w:szCs w:val="20"/>
              </w:rPr>
            </w:pPr>
            <w:r>
              <w:rPr>
                <w:b w:val="0"/>
                <w:smallCaps w:val="0"/>
                <w:spacing w:val="0"/>
                <w:sz w:val="20"/>
                <w:szCs w:val="20"/>
              </w:rPr>
              <w:t>Partecipazione dell’Amministrazione Provinciale di Parma e dei Presidenti dei due Raggruppamenti provinciali GELA e CGEV.</w:t>
            </w:r>
          </w:p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GEV nella provincia di Parma. Ruolo delle Amministrazioni Pubbliche nei confronti delle GEV secondo la L.R. n. 23/89 (“Disciplina del servizio volontario di vigilanza ecologica”) e le 5 direttive regionali di applicazione.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02/11</w:t>
            </w:r>
          </w:p>
          <w:p w:rsidR="005E0CEE" w:rsidRDefault="005E0CEE" w:rsidP="00D66787">
            <w:pPr>
              <w:rPr>
                <w:rFonts w:ascii="Arial" w:hAnsi="Arial"/>
                <w:b/>
              </w:rPr>
            </w:pP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Alessandra Uni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Maurizio </w:t>
            </w:r>
            <w:proofErr w:type="spellStart"/>
            <w:r>
              <w:rPr>
                <w:rFonts w:ascii="Arial" w:hAnsi="Arial"/>
                <w:sz w:val="22"/>
              </w:rPr>
              <w:t>Mongardi</w:t>
            </w:r>
            <w:proofErr w:type="spellEnd"/>
          </w:p>
          <w:p w:rsidR="005E0CEE" w:rsidRDefault="005E0CEE" w:rsidP="007D50B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Michela Canova</w:t>
            </w:r>
          </w:p>
          <w:p w:rsidR="005E0CEE" w:rsidRDefault="005E0CEE" w:rsidP="007D50B8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7D50B8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Disciplina del servizio volontario di vigilanza ecologica, volontariato, figura giuridica della GEV.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Titolo8"/>
              <w:tabs>
                <w:tab w:val="left" w:pos="649"/>
              </w:tabs>
              <w:spacing w:before="0"/>
              <w:jc w:val="left"/>
              <w:rPr>
                <w:b w:val="0"/>
                <w:smallCaps w:val="0"/>
                <w:spacing w:val="0"/>
                <w:sz w:val="20"/>
                <w:szCs w:val="20"/>
              </w:rPr>
            </w:pPr>
            <w:r>
              <w:rPr>
                <w:b w:val="0"/>
                <w:smallCaps w:val="0"/>
                <w:spacing w:val="0"/>
                <w:sz w:val="20"/>
                <w:szCs w:val="20"/>
              </w:rPr>
              <w:t>I Raggruppamenti delle guardie ecologiche volontarie e la loro attività (convenzioni, programmi, attività ed organizzazione, Statuto e Regolamenti)</w:t>
            </w:r>
          </w:p>
          <w:p w:rsidR="005E0CEE" w:rsidRDefault="005E0CEE" w:rsidP="00D66787">
            <w:r w:rsidRPr="000503A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503A6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503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0503A6">
              <w:rPr>
                <w:rFonts w:ascii="Verdana" w:hAnsi="Verdana"/>
                <w:sz w:val="20"/>
                <w:szCs w:val="20"/>
              </w:rPr>
              <w:t xml:space="preserve">23/89 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r w:rsidRPr="000503A6">
              <w:rPr>
                <w:rFonts w:ascii="Verdana" w:hAnsi="Verdana"/>
                <w:sz w:val="20"/>
                <w:szCs w:val="20"/>
              </w:rPr>
              <w:t xml:space="preserve">Disciplina del servizio volontario di vigilanza ecologica” e direttive di </w:t>
            </w:r>
            <w:r>
              <w:rPr>
                <w:rFonts w:ascii="Verdana" w:hAnsi="Verdana"/>
                <w:sz w:val="20"/>
                <w:szCs w:val="20"/>
              </w:rPr>
              <w:t xml:space="preserve">applicazione: </w:t>
            </w:r>
            <w:r w:rsidRPr="000503A6">
              <w:rPr>
                <w:rFonts w:ascii="Verdana" w:hAnsi="Verdana"/>
                <w:sz w:val="20"/>
                <w:szCs w:val="20"/>
              </w:rPr>
              <w:t>attuazione</w:t>
            </w:r>
            <w:r>
              <w:rPr>
                <w:rFonts w:ascii="Verdana" w:hAnsi="Verdana"/>
                <w:sz w:val="20"/>
                <w:szCs w:val="20"/>
              </w:rPr>
              <w:t xml:space="preserve"> ed approfondimenti</w:t>
            </w:r>
            <w:r w:rsidRPr="000503A6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Cenni alla L. n. 266/91 “Legge quadro sul volontariato” e alla </w:t>
            </w:r>
            <w:r w:rsidRPr="000503A6">
              <w:rPr>
                <w:rFonts w:ascii="Verdana" w:hAnsi="Verdana"/>
                <w:sz w:val="20"/>
                <w:szCs w:val="20"/>
              </w:rPr>
              <w:t>LR 12/2005 “Norme per la valorizzazione delle organizzazioni di volontariato”</w:t>
            </w:r>
            <w:r>
              <w:rPr>
                <w:rFonts w:ascii="Verdana" w:hAnsi="Verdana"/>
                <w:sz w:val="20"/>
                <w:szCs w:val="20"/>
              </w:rPr>
              <w:t xml:space="preserve"> di recepimento</w:t>
            </w:r>
            <w:r w:rsidRPr="000503A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Introduzione alla figura giuridica della GEV. 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Enrico </w:t>
            </w:r>
            <w:proofErr w:type="spellStart"/>
            <w:r>
              <w:rPr>
                <w:rFonts w:ascii="Arial" w:hAnsi="Arial"/>
                <w:sz w:val="22"/>
              </w:rPr>
              <w:t>Copercini</w:t>
            </w:r>
            <w:proofErr w:type="spellEnd"/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Dell’Acqua Marco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95" w:type="dxa"/>
          </w:tcPr>
          <w:p w:rsidR="005E0CEE" w:rsidRDefault="005E0CEE" w:rsidP="00D66787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Le Guardie Particolari Giurate. Le norme del TULPS ed il Regolamento </w:t>
            </w:r>
            <w:proofErr w:type="gramStart"/>
            <w:r>
              <w:rPr>
                <w:rFonts w:ascii="Arial" w:hAnsi="Arial"/>
                <w:b/>
                <w:sz w:val="22"/>
              </w:rPr>
              <w:lastRenderedPageBreak/>
              <w:t>di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Esecuzione. La gerarchia delle Leggi Italiane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Corpotesto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 xml:space="preserve">La qualifica di Pubblico Ufficiale. I poteri ed i compiti delle Guardie Particolari Giurate Volontarie. Le competenze della Polizia Giudiziaria.  Gli illeciti amministrativi e penali. </w:t>
            </w:r>
            <w:r>
              <w:rPr>
                <w:bCs/>
                <w:szCs w:val="20"/>
              </w:rPr>
              <w:lastRenderedPageBreak/>
              <w:t>Approfondimenti sulla figura giuridica della GEV.  Compilazione dei verbali alla luce delle L. n. 689/81 e L.R. n. 21/84.</w:t>
            </w:r>
          </w:p>
          <w:p w:rsidR="005E0CEE" w:rsidRDefault="005E0CEE" w:rsidP="00D66787">
            <w:pPr>
              <w:pStyle w:val="Corpotesto"/>
              <w:rPr>
                <w:bCs/>
                <w:szCs w:val="20"/>
              </w:rPr>
            </w:pPr>
          </w:p>
          <w:p w:rsidR="005E0CEE" w:rsidRDefault="005E0CEE" w:rsidP="00D66787">
            <w:pPr>
              <w:pStyle w:val="Corpotesto"/>
              <w:rPr>
                <w:bCs/>
                <w:szCs w:val="20"/>
              </w:rPr>
            </w:pP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09/11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Daniele Ghillani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4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Nozioni generali di ecologia e principi dello sviluppo sostenibile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6723" w:type="dxa"/>
          </w:tcPr>
          <w:p w:rsidR="005E0CEE" w:rsidRDefault="005E0CEE" w:rsidP="007D50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Nozioni generali di ecologia e principi dello sviluppo sostenibile. Concetto di ecosistema e biocenosi, di catena alimentare, di piramide ecologica, di popolazione.  Concetto di sviluppo sostenibile e di capacità di carico degli ecosistemi.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 11/11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Roberto Antonietti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Ambiente naturale: flora e vegetazione nella provincia di Parma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Corpotesto"/>
              <w:tabs>
                <w:tab w:val="left" w:pos="142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La flora provinciale. La LR n. 2/77 “Provvedimenti per la salvaguardia della flora regionale […]”. Ordinanze sindacali a tutela di flora e vegetazione.</w:t>
            </w:r>
          </w:p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16/11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Francesco Saverio Tagliavini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Aspetti geologici e idrologici della Provincia di Parma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Corpotesto"/>
              <w:tabs>
                <w:tab w:val="left" w:pos="142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Aspetti geologici, geomorfologici, idrologici ed idraulici e relative alterazioni indotte; clima, atmosfera, acqua e suolo.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Paolo Vescovi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Inquinamento dell’aria e dell’acqua</w:t>
            </w:r>
          </w:p>
        </w:tc>
        <w:tc>
          <w:tcPr>
            <w:tcW w:w="6723" w:type="dxa"/>
          </w:tcPr>
          <w:p w:rsidR="005E0CEE" w:rsidRDefault="005E0CEE" w:rsidP="000028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Fonti, modalità di diffusione, effetti e danni per l’uomo e per l’ambiente.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n. 152/06. Scarichi dei reflui, depurazione e rispetto dei limiti tabellari. 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Lunedì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23/11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Beatrice Anelli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>Inquinamento da nitrati</w:t>
            </w:r>
          </w:p>
        </w:tc>
        <w:tc>
          <w:tcPr>
            <w:tcW w:w="6723" w:type="dxa"/>
          </w:tcPr>
          <w:p w:rsidR="005E0CEE" w:rsidRDefault="005E0CEE" w:rsidP="0000281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Inquinamento idrico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da nitrati e spandimento agronomico dei liquami LR n.4/07. Reg.to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Reg.le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n. 1 del 28/10/2011. Controlli in situ. Verbali di accertamento e campionamento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25/11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Giovanni Saglia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Barbara Crapella</w:t>
            </w:r>
          </w:p>
        </w:tc>
        <w:tc>
          <w:tcPr>
            <w:tcW w:w="1266" w:type="dxa"/>
          </w:tcPr>
          <w:p w:rsidR="005E0CEE" w:rsidRPr="006145CA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Risorse idriche, difesa del suolo</w:t>
            </w:r>
          </w:p>
        </w:tc>
        <w:tc>
          <w:tcPr>
            <w:tcW w:w="6723" w:type="dxa"/>
          </w:tcPr>
          <w:p w:rsidR="005E0CEE" w:rsidRDefault="005E0CEE" w:rsidP="00D66787">
            <w:pPr>
              <w:tabs>
                <w:tab w:val="left" w:pos="316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Norme in materia di difesa del suolo e lotta alla desertificazione, tutele delle acque dall’inquinamento e gestione delle risorse idriche.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DLgs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152/06, DGR 40/05 e Piano generale di tutela delle acque.</w:t>
            </w:r>
          </w:p>
        </w:tc>
        <w:tc>
          <w:tcPr>
            <w:tcW w:w="1243" w:type="dxa"/>
          </w:tcPr>
          <w:p w:rsidR="005E0CEE" w:rsidRDefault="005E0CEE" w:rsidP="006C369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Lunedì </w:t>
            </w:r>
          </w:p>
          <w:p w:rsidR="005E0CEE" w:rsidRDefault="005E0CEE" w:rsidP="006C369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30/11</w:t>
            </w:r>
          </w:p>
        </w:tc>
        <w:tc>
          <w:tcPr>
            <w:tcW w:w="2260" w:type="dxa"/>
          </w:tcPr>
          <w:p w:rsidR="005E0CEE" w:rsidRDefault="00865015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Pierluigi </w:t>
            </w:r>
            <w:proofErr w:type="spellStart"/>
            <w:r>
              <w:rPr>
                <w:rFonts w:ascii="Arial" w:hAnsi="Arial"/>
                <w:sz w:val="22"/>
              </w:rPr>
              <w:t>Viaroli</w:t>
            </w:r>
            <w:proofErr w:type="spellEnd"/>
          </w:p>
        </w:tc>
        <w:tc>
          <w:tcPr>
            <w:tcW w:w="1266" w:type="dxa"/>
          </w:tcPr>
          <w:p w:rsidR="005E0CEE" w:rsidRPr="006145CA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Accertamento della violazione</w:t>
            </w:r>
          </w:p>
          <w:p w:rsidR="005E0CEE" w:rsidRDefault="005E0CEE" w:rsidP="00D66787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amministrativa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sugli scarichi e redazione dei verbali</w:t>
            </w:r>
          </w:p>
        </w:tc>
        <w:tc>
          <w:tcPr>
            <w:tcW w:w="6723" w:type="dxa"/>
          </w:tcPr>
          <w:p w:rsidR="005E0CEE" w:rsidRDefault="005E0CEE" w:rsidP="00D66787">
            <w:pPr>
              <w:tabs>
                <w:tab w:val="left" w:pos="316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Controlli sugli scarichi delle acque, modalità di accertamento delle violazioni e di compilazione dei verbali; esperienze correlate. 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 02/12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Giovanni Saglia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Inquinamento luminoso</w:t>
            </w:r>
          </w:p>
        </w:tc>
        <w:tc>
          <w:tcPr>
            <w:tcW w:w="6723" w:type="dxa"/>
          </w:tcPr>
          <w:p w:rsidR="005E0CEE" w:rsidRDefault="005E0CEE" w:rsidP="00D66787">
            <w:pPr>
              <w:tabs>
                <w:tab w:val="left" w:pos="316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L.R. 19/2003 “Norme in materia di riduzione dell’inquinamento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luminoso e di risparmio energetico”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07/12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Maurizio Benvenuti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12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Aree protette, siti di Rete Natura 2000 e fauna minore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L. n. 394/91 (legge quadro sulle aree protette), L.R. n. 6/05 (Sistema Regionale delle Aree Protette e dei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siti  della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Rete Natura 2000), D.P.R. n. 357/1997 (Regolamento attuazione direttiva CEE 92/43/CEE), L.R. n. 7/2004 (“Disposizioni in materia ambientale”), Decreto Ministeriale n. 184/2007 (su misure di conservazione di ZSC e ZPS), DGR n. 1224/08 di applicazione, L.R. n. 15/2006 (“Disposizioni per la tutela della fauna minore in Emilia Romagna”).</w:t>
            </w:r>
          </w:p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09/12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Sergio </w:t>
            </w:r>
            <w:proofErr w:type="spellStart"/>
            <w:r>
              <w:rPr>
                <w:rFonts w:ascii="Arial" w:hAnsi="Arial"/>
                <w:sz w:val="22"/>
              </w:rPr>
              <w:t>Tralongo</w:t>
            </w:r>
            <w:proofErr w:type="spellEnd"/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95" w:type="dxa"/>
          </w:tcPr>
          <w:p w:rsidR="005E0CEE" w:rsidRDefault="005E0CEE" w:rsidP="00D66787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Benessere animale e controllo della popolazione canina e felina</w:t>
            </w:r>
          </w:p>
        </w:tc>
        <w:tc>
          <w:tcPr>
            <w:tcW w:w="6723" w:type="dxa"/>
          </w:tcPr>
          <w:p w:rsidR="005E0CEE" w:rsidRDefault="005E0CEE" w:rsidP="00E67D1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L.R. n. 27/2000 “Nuove norme per la tutela ed il controllo della popolazione canina e felina” –   L.R. n. 5/2005 “Norme a tutela del benessere animale” e direttive di applicazione.</w:t>
            </w:r>
          </w:p>
          <w:p w:rsidR="005E0CEE" w:rsidRPr="00E67D19" w:rsidRDefault="005E0CEE" w:rsidP="00E67D1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Lunedì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Marco Dell’Acqua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95" w:type="dxa"/>
          </w:tcPr>
          <w:p w:rsidR="005E0CEE" w:rsidRDefault="005E0CEE" w:rsidP="008C582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t xml:space="preserve">Produzione e smaltimento dei rifiuti </w:t>
            </w:r>
          </w:p>
        </w:tc>
        <w:tc>
          <w:tcPr>
            <w:tcW w:w="6723" w:type="dxa"/>
          </w:tcPr>
          <w:p w:rsidR="005E0CEE" w:rsidRDefault="005E0CEE" w:rsidP="008C58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Prevenzione, recupero, smaltimento, attività di vigilanza sui rifiuti, gestione di particolari categorie di rifiuti. </w:t>
            </w:r>
            <w:r w:rsidRPr="008C582B">
              <w:rPr>
                <w:rFonts w:ascii="Arial" w:hAnsi="Arial"/>
                <w:bCs/>
                <w:sz w:val="22"/>
              </w:rPr>
              <w:t xml:space="preserve">LR. n. 24/94 E </w:t>
            </w:r>
            <w:proofErr w:type="spellStart"/>
            <w:r w:rsidRPr="008C582B">
              <w:rPr>
                <w:rFonts w:ascii="Arial" w:hAnsi="Arial"/>
                <w:bCs/>
                <w:sz w:val="22"/>
              </w:rPr>
              <w:t>DLgs</w:t>
            </w:r>
            <w:proofErr w:type="spellEnd"/>
            <w:r w:rsidRPr="008C582B">
              <w:rPr>
                <w:rFonts w:ascii="Arial" w:hAnsi="Arial"/>
                <w:bCs/>
                <w:sz w:val="22"/>
              </w:rPr>
              <w:t xml:space="preserve"> 152/06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16/12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Giovanni Saglia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>Disciplina delle attività estrattive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Disciplina delle attività estrattive (LR 17/91) e disciplina delle acque minerali e termali (LR. N. 32/88).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Lunedì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21/12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Andrea Pelosio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Pietro </w:t>
            </w:r>
            <w:proofErr w:type="spellStart"/>
            <w:r>
              <w:rPr>
                <w:rFonts w:ascii="Arial" w:hAnsi="Arial"/>
                <w:sz w:val="22"/>
              </w:rPr>
              <w:t>Boggio</w:t>
            </w:r>
            <w:proofErr w:type="spellEnd"/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Gestione del territorio e regolamento di Polizia forestale</w:t>
            </w:r>
          </w:p>
        </w:tc>
        <w:tc>
          <w:tcPr>
            <w:tcW w:w="6723" w:type="dxa"/>
          </w:tcPr>
          <w:p w:rsidR="005E0CEE" w:rsidRDefault="005E0CEE" w:rsidP="00821FE3">
            <w:pPr>
              <w:pStyle w:val="Corpotesto"/>
              <w:rPr>
                <w:rFonts w:ascii="Arial" w:hAnsi="Arial"/>
                <w:sz w:val="22"/>
              </w:rPr>
            </w:pPr>
            <w:r>
              <w:t>R.D. n. 3267/23, (vincolo idrogeologico), Testo unico incendi boschivi, Regolamento di polizia forestale, Violazione delle Prescrizioni di Massima di Polizia forestale, (Consiglio Regionale n° 2354 /95), L.353/2000 (lotta agli incendi boschivi), L. 950/67 (Sanzioni per i trasgressori delle norme di polizia forestale)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Lunedì 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11/01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Dr. Pierluigi Fedele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95" w:type="dxa"/>
          </w:tcPr>
          <w:p w:rsidR="005E0CEE" w:rsidRDefault="005E0CEE" w:rsidP="00D66787">
            <w:pPr>
              <w:pStyle w:val="Corpotes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Regolamentazione della raccolta e della commercializzazione di funghi e tartufi</w:t>
            </w:r>
          </w:p>
        </w:tc>
        <w:tc>
          <w:tcPr>
            <w:tcW w:w="6723" w:type="dxa"/>
          </w:tcPr>
          <w:p w:rsidR="005E0CEE" w:rsidRDefault="005E0CEE" w:rsidP="00821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LR. n. 24/91 “Disciplina della raccolta e commercio dei funghi nel territorio regionale e sue modifiche”, LR 6/96 “Disciplina della raccolta e della commercializzazione dei funghi epigei spontanei del territorio regionale”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18/01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Dr. Luca </w:t>
            </w:r>
            <w:proofErr w:type="spellStart"/>
            <w:r>
              <w:rPr>
                <w:rFonts w:ascii="Arial" w:hAnsi="Arial"/>
                <w:sz w:val="22"/>
              </w:rPr>
              <w:t>Frazzi</w:t>
            </w:r>
            <w:proofErr w:type="spellEnd"/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Pesca e regolamento vigilanza ittica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L.R. 07/11/12, n. 11 (sulla tutela della fauna ittica e dell’ecosistema acquatico e per la disciplina della pesca) e norme attuative.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20/01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Daniele Ghillani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19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Ambiente naturale come sistema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Fauna selvatica della provincia, fauna protetta e gestione fauna selvatica.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25/01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Mario Andreani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>Caccia e regolamento attività venatoria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 11/2/92, n. 157 “Norme per la protezione della fauna selvatica   omeoterma e per il prelievo venatorio”; LR 15/2/94, n. 8 “Disposizione per la protezione della fauna selvatica per l’esercizio dell’attività venatoria” e successive modifiche. R.R. 27/05/2008, n. 1 “Regolamento per la gestione degli ungulati in Emilia Romagna”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27/01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Daniele Ghillani</w:t>
            </w:r>
          </w:p>
          <w:p w:rsidR="005E0CEE" w:rsidRDefault="005E0CEE" w:rsidP="00D66787">
            <w:pPr>
              <w:rPr>
                <w:rFonts w:ascii="Arial" w:hAnsi="Arial"/>
                <w:strike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95" w:type="dxa"/>
          </w:tcPr>
          <w:p w:rsidR="005E0CEE" w:rsidRPr="008B5A19" w:rsidRDefault="005E0CEE" w:rsidP="00D66787">
            <w:pPr>
              <w:rPr>
                <w:rFonts w:ascii="Arial" w:hAnsi="Arial"/>
                <w:b/>
              </w:rPr>
            </w:pPr>
            <w:r w:rsidRPr="008B5A19">
              <w:rPr>
                <w:rFonts w:ascii="Arial" w:hAnsi="Arial"/>
                <w:b/>
                <w:sz w:val="22"/>
              </w:rPr>
              <w:t>Verde Urbano e ordinanze sindacali</w:t>
            </w:r>
          </w:p>
        </w:tc>
        <w:tc>
          <w:tcPr>
            <w:tcW w:w="6723" w:type="dxa"/>
          </w:tcPr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267/2000 art. 7 Disposizioni contenute nei regolamenti comunali, provinciali e ordinanze sindacali in materia di tutela dell’ambiente e verde pubblico.</w:t>
            </w:r>
          </w:p>
          <w:p w:rsidR="005E0CEE" w:rsidRDefault="005E0CEE" w:rsidP="00D667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L.10/2013 “Alberi monumentali”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Lunedì</w:t>
            </w:r>
          </w:p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01/02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 w:rsidRPr="28711715">
              <w:rPr>
                <w:rFonts w:ascii="Arial" w:hAnsi="Arial" w:cs="Arial"/>
                <w:sz w:val="22"/>
                <w:szCs w:val="22"/>
              </w:rPr>
              <w:t>Marco Romano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Default="005E0CEE" w:rsidP="003536A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3536A3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95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Principi di educazione ambientale</w:t>
            </w:r>
          </w:p>
        </w:tc>
        <w:tc>
          <w:tcPr>
            <w:tcW w:w="6723" w:type="dxa"/>
          </w:tcPr>
          <w:p w:rsidR="005E0CEE" w:rsidRDefault="005E0CEE" w:rsidP="00D66787">
            <w:pPr>
              <w:pStyle w:val="Corpotesto"/>
              <w:rPr>
                <w:b/>
                <w:szCs w:val="20"/>
              </w:rPr>
            </w:pPr>
            <w:r>
              <w:rPr>
                <w:szCs w:val="20"/>
              </w:rPr>
              <w:t xml:space="preserve">Fonti della documentazione ambientale. Rapporti con Enti competenti. Struttura e servizi per l’educazione ambientale. </w:t>
            </w:r>
          </w:p>
          <w:p w:rsidR="005E0CEE" w:rsidRDefault="005E0CEE" w:rsidP="00D66787">
            <w:pPr>
              <w:tabs>
                <w:tab w:val="left" w:pos="4286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3" w:type="dxa"/>
          </w:tcPr>
          <w:p w:rsidR="005E0CEE" w:rsidRDefault="003536A3" w:rsidP="00D667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Mercoledì</w:t>
            </w:r>
          </w:p>
          <w:p w:rsidR="003536A3" w:rsidRDefault="003536A3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03/02</w:t>
            </w:r>
          </w:p>
        </w:tc>
        <w:tc>
          <w:tcPr>
            <w:tcW w:w="2260" w:type="dxa"/>
          </w:tcPr>
          <w:p w:rsidR="005E0CEE" w:rsidRDefault="005E0CEE" w:rsidP="00D667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Enrica Montanini</w:t>
            </w:r>
          </w:p>
          <w:p w:rsidR="005E0CEE" w:rsidRDefault="005E0CEE" w:rsidP="00D66787">
            <w:pPr>
              <w:rPr>
                <w:rFonts w:ascii="Arial" w:hAnsi="Arial"/>
              </w:rPr>
            </w:pP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  <w:tr w:rsidR="003536A3" w:rsidTr="003536A3">
        <w:tc>
          <w:tcPr>
            <w:tcW w:w="463" w:type="dxa"/>
          </w:tcPr>
          <w:p w:rsidR="003536A3" w:rsidRPr="00B50F89" w:rsidRDefault="003536A3" w:rsidP="003536A3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:rsidR="003536A3" w:rsidRPr="00B50F89" w:rsidRDefault="003536A3" w:rsidP="00E517CF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Pianificazione territoriale e utilizzo cartografia  </w:t>
            </w:r>
          </w:p>
        </w:tc>
        <w:tc>
          <w:tcPr>
            <w:tcW w:w="6723" w:type="dxa"/>
          </w:tcPr>
          <w:p w:rsidR="003536A3" w:rsidRPr="00B50F89" w:rsidRDefault="003536A3" w:rsidP="00E517CF">
            <w:pPr>
              <w:pStyle w:val="Corpotesto"/>
              <w:rPr>
                <w:szCs w:val="20"/>
                <w:highlight w:val="yellow"/>
              </w:rPr>
            </w:pPr>
            <w:r w:rsidRPr="28711715">
              <w:rPr>
                <w:b/>
                <w:bCs/>
              </w:rPr>
              <w:t xml:space="preserve">Cenni al Piano territoriale paesistico e alla pianificazione urbanistico territoriale provinciale e comunale. Cartografia dell’I.G.M.I. e carte tematiche generali. </w:t>
            </w:r>
          </w:p>
        </w:tc>
        <w:tc>
          <w:tcPr>
            <w:tcW w:w="1243" w:type="dxa"/>
          </w:tcPr>
          <w:p w:rsidR="003536A3" w:rsidRDefault="003536A3" w:rsidP="00E517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Lunedì</w:t>
            </w:r>
          </w:p>
          <w:p w:rsidR="003536A3" w:rsidRPr="00B50F89" w:rsidRDefault="003536A3" w:rsidP="00E517CF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2260" w:type="dxa"/>
          </w:tcPr>
          <w:p w:rsidR="003536A3" w:rsidRPr="003536A3" w:rsidRDefault="00231FD9" w:rsidP="00E51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Andrea </w:t>
            </w:r>
            <w:r w:rsidR="003536A3" w:rsidRPr="003536A3">
              <w:rPr>
                <w:rFonts w:ascii="Arial" w:hAnsi="Arial"/>
                <w:b/>
              </w:rPr>
              <w:t>Ruffini</w:t>
            </w:r>
            <w:bookmarkStart w:id="0" w:name="_GoBack"/>
            <w:bookmarkEnd w:id="0"/>
          </w:p>
        </w:tc>
        <w:tc>
          <w:tcPr>
            <w:tcW w:w="1266" w:type="dxa"/>
          </w:tcPr>
          <w:p w:rsidR="003536A3" w:rsidRDefault="003536A3" w:rsidP="00E517CF">
            <w:pPr>
              <w:rPr>
                <w:rFonts w:ascii="Arial" w:hAnsi="Arial"/>
              </w:rPr>
            </w:pPr>
          </w:p>
        </w:tc>
      </w:tr>
      <w:tr w:rsidR="005E0CEE" w:rsidRPr="00B50F89" w:rsidTr="003536A3">
        <w:tc>
          <w:tcPr>
            <w:tcW w:w="46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95" w:type="dxa"/>
          </w:tcPr>
          <w:p w:rsidR="005E0CEE" w:rsidRPr="00B50F89" w:rsidRDefault="005E0CEE" w:rsidP="00D66787">
            <w:pPr>
              <w:rPr>
                <w:rFonts w:ascii="Arial" w:hAnsi="Arial"/>
                <w:b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Nozione di Primo soccorso</w:t>
            </w:r>
          </w:p>
        </w:tc>
        <w:tc>
          <w:tcPr>
            <w:tcW w:w="6723" w:type="dxa"/>
          </w:tcPr>
          <w:p w:rsidR="005E0CEE" w:rsidRPr="00B50F89" w:rsidRDefault="005E0CEE" w:rsidP="00D6678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28711715">
              <w:rPr>
                <w:rFonts w:ascii="Verdana" w:hAnsi="Verdana" w:cs="Verdana"/>
                <w:b/>
                <w:bCs/>
                <w:sz w:val="20"/>
                <w:szCs w:val="20"/>
              </w:rPr>
              <w:t>Nozioni generali di primo soccorso. Valutazione ambientale, chiamata di soccorso. Cosa fare e cosa non fare.</w:t>
            </w:r>
          </w:p>
        </w:tc>
        <w:tc>
          <w:tcPr>
            <w:tcW w:w="124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Mercoledì 10/2</w:t>
            </w:r>
          </w:p>
        </w:tc>
        <w:tc>
          <w:tcPr>
            <w:tcW w:w="2260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Lorenzo Bertoli</w:t>
            </w:r>
          </w:p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Croce Rossa</w:t>
            </w:r>
          </w:p>
        </w:tc>
        <w:tc>
          <w:tcPr>
            <w:tcW w:w="1266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RPr="00B50F89" w:rsidTr="003536A3">
        <w:tc>
          <w:tcPr>
            <w:tcW w:w="46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895" w:type="dxa"/>
          </w:tcPr>
          <w:p w:rsidR="005E0CEE" w:rsidRPr="00B50F89" w:rsidRDefault="005E0CEE" w:rsidP="00D66787">
            <w:pPr>
              <w:rPr>
                <w:rFonts w:ascii="Arial" w:hAnsi="Arial"/>
                <w:b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Sistema Nazionale di Protezione civile e normativa</w:t>
            </w:r>
          </w:p>
        </w:tc>
        <w:tc>
          <w:tcPr>
            <w:tcW w:w="6723" w:type="dxa"/>
          </w:tcPr>
          <w:p w:rsidR="005E0CEE" w:rsidRPr="00B50F89" w:rsidRDefault="005E0CEE" w:rsidP="00FE535F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28711715">
              <w:rPr>
                <w:rFonts w:ascii="Verdana" w:hAnsi="Verdana" w:cs="Verdana"/>
                <w:b/>
                <w:bCs/>
                <w:sz w:val="20"/>
                <w:szCs w:val="20"/>
              </w:rPr>
              <w:t>Definizione e scopi del Sistema Nazionale di</w:t>
            </w:r>
          </w:p>
          <w:p w:rsidR="005E0CEE" w:rsidRPr="00B50F89" w:rsidRDefault="005E0CEE" w:rsidP="0046269F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28711715">
              <w:rPr>
                <w:rFonts w:ascii="Verdana" w:hAnsi="Verdana" w:cs="Verdana"/>
                <w:b/>
                <w:bCs/>
                <w:sz w:val="20"/>
                <w:szCs w:val="20"/>
              </w:rPr>
              <w:t>Protezione Civile. Obiettivi del sistema. Centri operativi: COC-COM-CCS/SOP-COR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- </w:t>
            </w:r>
            <w:r w:rsidRPr="28711715">
              <w:rPr>
                <w:rFonts w:ascii="Verdana" w:hAnsi="Verdana" w:cs="Verdana"/>
                <w:b/>
                <w:bCs/>
                <w:sz w:val="20"/>
                <w:szCs w:val="20"/>
              </w:rPr>
              <w:t>DICOMAC. Normativa di riferimento.</w:t>
            </w:r>
          </w:p>
        </w:tc>
        <w:tc>
          <w:tcPr>
            <w:tcW w:w="124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Lunedì</w:t>
            </w:r>
          </w:p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15/2</w:t>
            </w:r>
          </w:p>
        </w:tc>
        <w:tc>
          <w:tcPr>
            <w:tcW w:w="2260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Stefano Castagnetti</w:t>
            </w:r>
          </w:p>
        </w:tc>
        <w:tc>
          <w:tcPr>
            <w:tcW w:w="1266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RPr="00B50F89" w:rsidTr="003536A3">
        <w:tc>
          <w:tcPr>
            <w:tcW w:w="46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895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ruolo delle GEV nella Protezione Civile ed emergenza di carattere ecologico </w:t>
            </w:r>
          </w:p>
        </w:tc>
        <w:tc>
          <w:tcPr>
            <w:tcW w:w="6723" w:type="dxa"/>
          </w:tcPr>
          <w:p w:rsidR="005E0CEE" w:rsidRPr="00B50F89" w:rsidRDefault="005E0CEE" w:rsidP="00D66787">
            <w:pPr>
              <w:pStyle w:val="Corpotesto"/>
            </w:pPr>
            <w:r w:rsidRPr="28711715">
              <w:rPr>
                <w:b/>
                <w:bCs/>
              </w:rPr>
              <w:t xml:space="preserve">Ruolo delle GEV nella Protezione Civile. </w:t>
            </w:r>
            <w:r>
              <w:rPr>
                <w:b/>
                <w:bCs/>
              </w:rPr>
              <w:t>Cenni alla LR. n. 23/89</w:t>
            </w:r>
            <w:r w:rsidRPr="28711715">
              <w:rPr>
                <w:b/>
                <w:bCs/>
              </w:rPr>
              <w:t xml:space="preserve"> – L.</w:t>
            </w:r>
            <w:r>
              <w:rPr>
                <w:b/>
                <w:bCs/>
              </w:rPr>
              <w:t xml:space="preserve"> n.</w:t>
            </w:r>
            <w:r w:rsidRPr="28711715">
              <w:rPr>
                <w:b/>
                <w:bCs/>
              </w:rPr>
              <w:t xml:space="preserve"> 266/91 </w:t>
            </w:r>
            <w:r>
              <w:rPr>
                <w:b/>
                <w:bCs/>
              </w:rPr>
              <w:t>“Legge quadro sul volontariato” e</w:t>
            </w:r>
            <w:r w:rsidRPr="28711715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.</w:t>
            </w:r>
            <w:r w:rsidRPr="28711715">
              <w:rPr>
                <w:b/>
                <w:bCs/>
              </w:rPr>
              <w:t xml:space="preserve">R. </w:t>
            </w:r>
            <w:r>
              <w:rPr>
                <w:b/>
                <w:bCs/>
              </w:rPr>
              <w:t xml:space="preserve">n. </w:t>
            </w:r>
            <w:r w:rsidRPr="28711715">
              <w:rPr>
                <w:b/>
                <w:bCs/>
              </w:rPr>
              <w:t>12/2005</w:t>
            </w:r>
            <w:r>
              <w:rPr>
                <w:b/>
                <w:bCs/>
              </w:rPr>
              <w:t xml:space="preserve"> di recepimento.</w:t>
            </w:r>
          </w:p>
          <w:p w:rsidR="005E0CEE" w:rsidRPr="00B50F89" w:rsidRDefault="005E0CEE" w:rsidP="00D66787">
            <w:pPr>
              <w:pStyle w:val="Corpotesto"/>
              <w:rPr>
                <w:szCs w:val="20"/>
                <w:highlight w:val="yellow"/>
              </w:rPr>
            </w:pPr>
            <w:r w:rsidRPr="28711715">
              <w:rPr>
                <w:b/>
                <w:bCs/>
              </w:rPr>
              <w:t>La colonna mobile</w:t>
            </w:r>
            <w:r>
              <w:rPr>
                <w:b/>
                <w:bCs/>
              </w:rPr>
              <w:t xml:space="preserve"> Regionale.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 w:cs="Arial"/>
                <w:b/>
                <w:bCs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Mercoledì</w:t>
            </w:r>
          </w:p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17/2</w:t>
            </w:r>
          </w:p>
        </w:tc>
        <w:tc>
          <w:tcPr>
            <w:tcW w:w="2260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Graziella Serventi</w:t>
            </w:r>
          </w:p>
        </w:tc>
        <w:tc>
          <w:tcPr>
            <w:tcW w:w="1266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RPr="00B50F89" w:rsidTr="003536A3">
        <w:tc>
          <w:tcPr>
            <w:tcW w:w="46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895" w:type="dxa"/>
          </w:tcPr>
          <w:p w:rsidR="005E0CEE" w:rsidRPr="00B50F89" w:rsidRDefault="005E0CEE" w:rsidP="00D66787">
            <w:pPr>
              <w:rPr>
                <w:rFonts w:ascii="Arial" w:hAnsi="Arial"/>
                <w:b/>
                <w:bCs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Scenari di protezione civile e sicurezza del volontario</w:t>
            </w:r>
          </w:p>
        </w:tc>
        <w:tc>
          <w:tcPr>
            <w:tcW w:w="6723" w:type="dxa"/>
          </w:tcPr>
          <w:p w:rsidR="005E0CEE" w:rsidRPr="00B50F89" w:rsidRDefault="005E0CEE" w:rsidP="00D66787">
            <w:pPr>
              <w:pStyle w:val="Corpotesto"/>
              <w:rPr>
                <w:szCs w:val="20"/>
                <w:highlight w:val="yellow"/>
              </w:rPr>
            </w:pPr>
            <w:r w:rsidRPr="28711715">
              <w:rPr>
                <w:b/>
                <w:bCs/>
              </w:rPr>
              <w:t>Principali scenari e tipologie di rischio. Comportamento in sicurezza. DPI equipaggiamenti personali</w:t>
            </w:r>
            <w:r>
              <w:rPr>
                <w:b/>
                <w:bCs/>
              </w:rPr>
              <w:t>.</w:t>
            </w:r>
          </w:p>
        </w:tc>
        <w:tc>
          <w:tcPr>
            <w:tcW w:w="124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Lunedì</w:t>
            </w:r>
          </w:p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22/2</w:t>
            </w:r>
          </w:p>
        </w:tc>
        <w:tc>
          <w:tcPr>
            <w:tcW w:w="2260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Roberto </w:t>
            </w:r>
            <w:proofErr w:type="spellStart"/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Borsi</w:t>
            </w:r>
            <w:proofErr w:type="spellEnd"/>
          </w:p>
        </w:tc>
        <w:tc>
          <w:tcPr>
            <w:tcW w:w="1266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</w:p>
        </w:tc>
      </w:tr>
      <w:tr w:rsidR="005E0CEE" w:rsidTr="003536A3">
        <w:tc>
          <w:tcPr>
            <w:tcW w:w="463" w:type="dxa"/>
          </w:tcPr>
          <w:p w:rsidR="005E0CEE" w:rsidRPr="00B50F89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895" w:type="dxa"/>
          </w:tcPr>
          <w:p w:rsidR="005E0CEE" w:rsidRPr="00B50F89" w:rsidRDefault="005E0CEE" w:rsidP="00D66787">
            <w:pPr>
              <w:rPr>
                <w:rFonts w:ascii="Arial" w:hAnsi="Arial"/>
                <w:b/>
                <w:bCs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Psicologia dell’emergenza</w:t>
            </w:r>
          </w:p>
        </w:tc>
        <w:tc>
          <w:tcPr>
            <w:tcW w:w="6723" w:type="dxa"/>
          </w:tcPr>
          <w:p w:rsidR="005E0CEE" w:rsidRPr="00B50F89" w:rsidRDefault="005E0CEE" w:rsidP="00D66787">
            <w:pPr>
              <w:pStyle w:val="Corpotesto"/>
              <w:rPr>
                <w:szCs w:val="20"/>
                <w:highlight w:val="yellow"/>
              </w:rPr>
            </w:pPr>
            <w:r w:rsidRPr="28711715">
              <w:rPr>
                <w:b/>
                <w:bCs/>
              </w:rPr>
              <w:t>Elementi di psicologia dell’emergenza</w:t>
            </w:r>
            <w:r>
              <w:rPr>
                <w:b/>
                <w:bCs/>
              </w:rPr>
              <w:t>.</w:t>
            </w:r>
          </w:p>
        </w:tc>
        <w:tc>
          <w:tcPr>
            <w:tcW w:w="1243" w:type="dxa"/>
          </w:tcPr>
          <w:p w:rsidR="005E0CEE" w:rsidRDefault="005E0CEE" w:rsidP="00D66787">
            <w:pPr>
              <w:rPr>
                <w:rFonts w:ascii="Arial" w:hAnsi="Arial" w:cs="Arial"/>
                <w:b/>
                <w:bCs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Mercoledì</w:t>
            </w:r>
          </w:p>
          <w:p w:rsidR="005E0CEE" w:rsidRPr="00E24D5C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24/2</w:t>
            </w:r>
          </w:p>
        </w:tc>
        <w:tc>
          <w:tcPr>
            <w:tcW w:w="2260" w:type="dxa"/>
          </w:tcPr>
          <w:p w:rsidR="005E0CEE" w:rsidRPr="00E24D5C" w:rsidRDefault="005E0CEE" w:rsidP="00D66787">
            <w:pPr>
              <w:rPr>
                <w:rFonts w:ascii="Arial" w:hAnsi="Arial"/>
                <w:highlight w:val="yellow"/>
              </w:rPr>
            </w:pPr>
            <w:r w:rsidRPr="28711715">
              <w:rPr>
                <w:rFonts w:ascii="Arial" w:hAnsi="Arial" w:cs="Arial"/>
                <w:b/>
                <w:bCs/>
                <w:sz w:val="22"/>
                <w:szCs w:val="22"/>
              </w:rPr>
              <w:t>SIPEM</w:t>
            </w:r>
          </w:p>
        </w:tc>
        <w:tc>
          <w:tcPr>
            <w:tcW w:w="1266" w:type="dxa"/>
          </w:tcPr>
          <w:p w:rsidR="005E0CEE" w:rsidRDefault="005E0CEE" w:rsidP="00D66787">
            <w:pPr>
              <w:rPr>
                <w:rFonts w:ascii="Arial" w:hAnsi="Arial"/>
              </w:rPr>
            </w:pPr>
          </w:p>
        </w:tc>
      </w:tr>
    </w:tbl>
    <w:p w:rsidR="005E0CEE" w:rsidRDefault="005E0CEE" w:rsidP="00242F43"/>
    <w:p w:rsidR="005E0CEE" w:rsidRDefault="005E0CEE" w:rsidP="00242F43"/>
    <w:p w:rsidR="005E0CEE" w:rsidRDefault="005E0CEE" w:rsidP="00242F43"/>
    <w:p w:rsidR="005E0CEE" w:rsidRDefault="005E0CEE" w:rsidP="00821FE3">
      <w:pPr>
        <w:jc w:val="center"/>
        <w:rPr>
          <w:b/>
          <w:bCs/>
        </w:rPr>
      </w:pPr>
    </w:p>
    <w:p w:rsidR="005E0CEE" w:rsidRDefault="005E0CEE" w:rsidP="00821FE3">
      <w:pPr>
        <w:jc w:val="center"/>
        <w:rPr>
          <w:b/>
          <w:bCs/>
        </w:rPr>
      </w:pPr>
    </w:p>
    <w:p w:rsidR="005E0CEE" w:rsidRDefault="005E0CEE" w:rsidP="00821FE3">
      <w:pPr>
        <w:jc w:val="center"/>
        <w:rPr>
          <w:b/>
          <w:bCs/>
        </w:rPr>
      </w:pPr>
    </w:p>
    <w:p w:rsidR="005E0CEE" w:rsidRPr="00821FE3" w:rsidRDefault="005E0CEE" w:rsidP="00821FE3">
      <w:pPr>
        <w:jc w:val="center"/>
        <w:rPr>
          <w:b/>
        </w:rPr>
      </w:pPr>
      <w:r w:rsidRPr="28711715">
        <w:rPr>
          <w:b/>
          <w:bCs/>
        </w:rPr>
        <w:t>USCITE PRATICHE SUL TERRITORIO</w:t>
      </w:r>
    </w:p>
    <w:p w:rsidR="005E0CEE" w:rsidRDefault="005E0CEE" w:rsidP="00242F43"/>
    <w:p w:rsidR="005E0CEE" w:rsidRDefault="005E0CEE" w:rsidP="00242F43"/>
    <w:p w:rsidR="005E0CEE" w:rsidRDefault="005E0CEE" w:rsidP="00242F43"/>
    <w:p w:rsidR="005E0CEE" w:rsidRDefault="005E0CEE" w:rsidP="00242F43"/>
    <w:tbl>
      <w:tblPr>
        <w:tblW w:w="10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6"/>
        <w:gridCol w:w="992"/>
        <w:gridCol w:w="8711"/>
      </w:tblGrid>
      <w:tr w:rsidR="005E0CEE" w:rsidTr="00D66787">
        <w:trPr>
          <w:cantSplit/>
          <w:tblHeader/>
          <w:jc w:val="center"/>
        </w:trPr>
        <w:tc>
          <w:tcPr>
            <w:tcW w:w="10669" w:type="dxa"/>
            <w:gridSpan w:val="3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Modulo didattico n. 2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10669" w:type="dxa"/>
            <w:gridSpan w:val="3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Date e percorso da concordarsi con i docenti durante il corso</w:t>
            </w:r>
          </w:p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Le destinazioni possono subire variazioni legate all’andamento climatico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10669" w:type="dxa"/>
            <w:gridSpan w:val="3"/>
            <w:tcBorders>
              <w:left w:val="nil"/>
              <w:right w:val="nil"/>
            </w:tcBorders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E0CEE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+N.</w:t>
            </w:r>
          </w:p>
        </w:tc>
        <w:tc>
          <w:tcPr>
            <w:tcW w:w="9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Ore</w:t>
            </w:r>
          </w:p>
        </w:tc>
        <w:tc>
          <w:tcPr>
            <w:tcW w:w="8711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Argomento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9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8711" w:type="dxa"/>
          </w:tcPr>
          <w:p w:rsidR="005E0CEE" w:rsidRPr="00242F43" w:rsidRDefault="005E0CEE" w:rsidP="00242F43">
            <w:pPr>
              <w:rPr>
                <w:rFonts w:ascii="Arial" w:hAnsi="Arial"/>
                <w:b/>
              </w:rPr>
            </w:pPr>
            <w:r w:rsidRPr="00242F43">
              <w:rPr>
                <w:rFonts w:ascii="Arial" w:hAnsi="Arial"/>
                <w:b/>
                <w:sz w:val="22"/>
              </w:rPr>
              <w:t xml:space="preserve">USCITA: </w:t>
            </w:r>
            <w:r>
              <w:rPr>
                <w:rFonts w:ascii="Arial" w:hAnsi="Arial"/>
                <w:b/>
                <w:sz w:val="22"/>
              </w:rPr>
              <w:t>Riconoscimento e censimento alberi monumentali (Boschi di Carrega)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9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8711" w:type="dxa"/>
          </w:tcPr>
          <w:p w:rsidR="005E0CEE" w:rsidRPr="00242F43" w:rsidRDefault="005E0CEE" w:rsidP="00242F43">
            <w:pPr>
              <w:rPr>
                <w:rFonts w:ascii="Arial" w:hAnsi="Arial"/>
                <w:b/>
              </w:rPr>
            </w:pPr>
            <w:r w:rsidRPr="00242F43">
              <w:rPr>
                <w:rFonts w:ascii="Arial" w:hAnsi="Arial"/>
                <w:b/>
                <w:sz w:val="22"/>
              </w:rPr>
              <w:t>USCITA: Visita al depuratore Parma Ovest e ciclo dei rifiuti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9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8711" w:type="dxa"/>
          </w:tcPr>
          <w:p w:rsidR="005E0CEE" w:rsidRPr="00242F43" w:rsidRDefault="005E0CEE" w:rsidP="00242F43">
            <w:pPr>
              <w:rPr>
                <w:rFonts w:ascii="Arial" w:hAnsi="Arial"/>
                <w:b/>
              </w:rPr>
            </w:pPr>
            <w:r w:rsidRPr="00242F43">
              <w:rPr>
                <w:rFonts w:ascii="Arial" w:hAnsi="Arial"/>
                <w:b/>
                <w:sz w:val="22"/>
              </w:rPr>
              <w:t>USCITA: Attività di controllo presso azienda agricola</w:t>
            </w:r>
          </w:p>
        </w:tc>
      </w:tr>
      <w:tr w:rsidR="005E0CEE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992" w:type="dxa"/>
          </w:tcPr>
          <w:p w:rsidR="005E0CEE" w:rsidRDefault="005E0CEE" w:rsidP="00D667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8711" w:type="dxa"/>
          </w:tcPr>
          <w:p w:rsidR="005E0CEE" w:rsidRPr="00242F43" w:rsidRDefault="005E0CEE" w:rsidP="008A00BD">
            <w:pPr>
              <w:rPr>
                <w:rFonts w:ascii="Arial" w:hAnsi="Arial"/>
                <w:b/>
              </w:rPr>
            </w:pPr>
            <w:r w:rsidRPr="00242F43">
              <w:rPr>
                <w:rFonts w:ascii="Arial" w:hAnsi="Arial"/>
                <w:b/>
                <w:sz w:val="22"/>
              </w:rPr>
              <w:t xml:space="preserve">USCITA: </w:t>
            </w:r>
            <w:r>
              <w:rPr>
                <w:rFonts w:ascii="Arial" w:hAnsi="Arial"/>
                <w:b/>
                <w:sz w:val="22"/>
              </w:rPr>
              <w:t>Visita didattica: la fauna al Parco del Taro</w:t>
            </w:r>
            <w:r w:rsidRPr="00242F43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5E0CEE" w:rsidRPr="00093815" w:rsidTr="00D66787">
        <w:trPr>
          <w:cantSplit/>
          <w:tblHeader/>
          <w:jc w:val="center"/>
        </w:trPr>
        <w:tc>
          <w:tcPr>
            <w:tcW w:w="966" w:type="dxa"/>
          </w:tcPr>
          <w:p w:rsidR="005E0CEE" w:rsidRPr="00093815" w:rsidRDefault="005E0CEE" w:rsidP="00D66787">
            <w:pPr>
              <w:jc w:val="center"/>
              <w:rPr>
                <w:rFonts w:ascii="Arial" w:hAnsi="Arial"/>
                <w:b/>
              </w:rPr>
            </w:pPr>
            <w:r w:rsidRPr="00093815"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992" w:type="dxa"/>
          </w:tcPr>
          <w:p w:rsidR="005E0CEE" w:rsidRPr="00093815" w:rsidRDefault="005E0CEE" w:rsidP="00D66787">
            <w:pPr>
              <w:jc w:val="center"/>
              <w:rPr>
                <w:rFonts w:ascii="Arial" w:hAnsi="Arial"/>
                <w:b/>
              </w:rPr>
            </w:pPr>
            <w:r w:rsidRPr="00093815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8711" w:type="dxa"/>
          </w:tcPr>
          <w:p w:rsidR="005E0CEE" w:rsidRPr="00093815" w:rsidRDefault="005E0CEE" w:rsidP="00242F43">
            <w:pPr>
              <w:rPr>
                <w:rFonts w:ascii="Arial" w:hAnsi="Arial"/>
                <w:b/>
              </w:rPr>
            </w:pPr>
            <w:r w:rsidRPr="00093815">
              <w:rPr>
                <w:rFonts w:ascii="Arial" w:hAnsi="Arial"/>
                <w:b/>
                <w:sz w:val="22"/>
              </w:rPr>
              <w:t>USCITA: Visita al Comitato Provinciale di Protezione Civile (CPPAVPC)</w:t>
            </w:r>
          </w:p>
        </w:tc>
      </w:tr>
    </w:tbl>
    <w:p w:rsidR="005E0CEE" w:rsidRDefault="005E0CEE" w:rsidP="00242F43"/>
    <w:p w:rsidR="005E0CEE" w:rsidRDefault="005E0CEE"/>
    <w:p w:rsidR="005E0CEE" w:rsidRDefault="005E0CEE"/>
    <w:p w:rsidR="005E0CEE" w:rsidRPr="00E36F1E" w:rsidRDefault="005E0CEE">
      <w:pPr>
        <w:rPr>
          <w:b/>
        </w:rPr>
      </w:pPr>
      <w:r w:rsidRPr="00E36F1E">
        <w:rPr>
          <w:b/>
        </w:rPr>
        <w:t>Si comunica che la frequentazione delle lezioni teoriche in neretto (la n. 22, 24, 25, 26, 27, 28) e dell’uscita pratica al Comitato Provinciale di Protezione Civile abilita la Guardia Ecologica anche all’attività di Protezione Civile.</w:t>
      </w:r>
    </w:p>
    <w:sectPr w:rsidR="005E0CEE" w:rsidRPr="00E36F1E" w:rsidSect="00594CB0">
      <w:headerReference w:type="even" r:id="rId6"/>
      <w:headerReference w:type="default" r:id="rId7"/>
      <w:footerReference w:type="default" r:id="rId8"/>
      <w:headerReference w:type="first" r:id="rId9"/>
      <w:footnotePr>
        <w:pos w:val="beneathText"/>
      </w:footnotePr>
      <w:pgSz w:w="16838" w:h="11906" w:orient="landscape" w:code="9"/>
      <w:pgMar w:top="680" w:right="1134" w:bottom="737" w:left="868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F5" w:rsidRDefault="00D65BF5">
      <w:r>
        <w:separator/>
      </w:r>
    </w:p>
  </w:endnote>
  <w:endnote w:type="continuationSeparator" w:id="0">
    <w:p w:rsidR="00D65BF5" w:rsidRDefault="00D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E" w:rsidRDefault="005E0CEE">
    <w:pPr>
      <w:pStyle w:val="Didascalia"/>
      <w:pBdr>
        <w:bottom w:val="single" w:sz="4" w:space="1" w:color="000000"/>
      </w:pBdr>
      <w:rPr>
        <w:rFonts w:ascii="Arial" w:hAnsi="Arial" w:cs="Arial"/>
        <w:b w:val="0"/>
        <w:i w:val="0"/>
        <w:color w:val="00FF00"/>
        <w:sz w:val="8"/>
        <w:szCs w:val="21"/>
        <w:u w:val="none"/>
      </w:rPr>
    </w:pPr>
  </w:p>
  <w:p w:rsidR="005E0CEE" w:rsidRDefault="005E0CEE">
    <w:pPr>
      <w:rPr>
        <w:rFonts w:ascii="Verdana" w:hAnsi="Verdana"/>
        <w:b/>
        <w:bCs/>
        <w:color w:val="00FF00"/>
        <w:sz w:val="22"/>
      </w:rPr>
    </w:pPr>
    <w:r>
      <w:rPr>
        <w:rFonts w:ascii="Verdana" w:hAnsi="Verdana"/>
        <w:b/>
        <w:bCs/>
        <w:color w:val="00FF00"/>
        <w:sz w:val="22"/>
      </w:rPr>
      <w:t>Raggruppamento delle Guardie Ecologiche Volontarie della Legambiente (GELA)</w:t>
    </w:r>
  </w:p>
  <w:p w:rsidR="005E0CEE" w:rsidRDefault="005E0CEE">
    <w:pPr>
      <w:jc w:val="center"/>
      <w:rPr>
        <w:rFonts w:ascii="Arial" w:hAnsi="Arial" w:cs="Arial"/>
        <w:sz w:val="20"/>
        <w:szCs w:val="20"/>
      </w:rPr>
    </w:pPr>
    <w:proofErr w:type="gramStart"/>
    <w:r>
      <w:rPr>
        <w:rStyle w:val="Enfasicorsivo"/>
        <w:rFonts w:ascii="Arial" w:hAnsi="Arial" w:cs="Arial"/>
        <w:iCs/>
        <w:sz w:val="20"/>
        <w:szCs w:val="20"/>
      </w:rPr>
      <w:t>sede</w:t>
    </w:r>
    <w:proofErr w:type="gramEnd"/>
    <w:r>
      <w:rPr>
        <w:rStyle w:val="Enfasicorsivo"/>
        <w:rFonts w:ascii="Arial" w:hAnsi="Arial" w:cs="Arial"/>
        <w:iCs/>
        <w:sz w:val="20"/>
        <w:szCs w:val="20"/>
      </w:rPr>
      <w:t xml:space="preserve"> legale: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V.lo</w:t>
    </w:r>
    <w:proofErr w:type="spellEnd"/>
    <w:r>
      <w:rPr>
        <w:rFonts w:ascii="Arial" w:hAnsi="Arial" w:cs="Arial"/>
        <w:sz w:val="20"/>
        <w:szCs w:val="20"/>
      </w:rPr>
      <w:t xml:space="preserve"> S. Maria 1/A - 43125 Parma  –  </w:t>
    </w:r>
    <w:r>
      <w:rPr>
        <w:rStyle w:val="Enfasicorsivo"/>
        <w:rFonts w:ascii="Arial" w:hAnsi="Arial" w:cs="Arial"/>
        <w:iCs/>
        <w:sz w:val="20"/>
        <w:szCs w:val="20"/>
      </w:rPr>
      <w:t>sede operativa:</w:t>
    </w:r>
    <w:r>
      <w:rPr>
        <w:rFonts w:ascii="Arial" w:hAnsi="Arial" w:cs="Arial"/>
        <w:sz w:val="20"/>
        <w:szCs w:val="20"/>
      </w:rPr>
      <w:t xml:space="preserve"> V.le Antonio Bizzozero 19/A - 43123 Parma  </w:t>
    </w:r>
  </w:p>
  <w:p w:rsidR="005E0CEE" w:rsidRDefault="005E0CEE">
    <w:pPr>
      <w:jc w:val="center"/>
      <w:rPr>
        <w:rFonts w:ascii="Arial" w:hAnsi="Arial" w:cs="Arial"/>
        <w:sz w:val="20"/>
        <w:szCs w:val="20"/>
      </w:rPr>
    </w:pPr>
    <w:r>
      <w:rPr>
        <w:rStyle w:val="Enfasicorsivo"/>
        <w:rFonts w:ascii="Arial" w:hAnsi="Arial" w:cs="Arial"/>
        <w:iCs/>
        <w:sz w:val="20"/>
        <w:szCs w:val="20"/>
      </w:rPr>
      <w:t>tel.:</w:t>
    </w:r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0521.238478  –</w:t>
    </w:r>
    <w:proofErr w:type="gramEnd"/>
    <w:r>
      <w:rPr>
        <w:rFonts w:ascii="Arial" w:hAnsi="Arial" w:cs="Arial"/>
        <w:sz w:val="20"/>
        <w:szCs w:val="20"/>
      </w:rPr>
      <w:t xml:space="preserve">  </w:t>
    </w:r>
    <w:r>
      <w:rPr>
        <w:rStyle w:val="Enfasicorsivo"/>
        <w:rFonts w:ascii="Arial" w:hAnsi="Arial" w:cs="Arial"/>
        <w:iCs/>
        <w:sz w:val="20"/>
        <w:szCs w:val="20"/>
      </w:rPr>
      <w:t>indirizzo e-mail:</w:t>
    </w:r>
    <w:r>
      <w:rPr>
        <w:rFonts w:ascii="Arial" w:hAnsi="Arial" w:cs="Arial"/>
        <w:sz w:val="20"/>
        <w:szCs w:val="20"/>
      </w:rPr>
      <w:t xml:space="preserve"> </w:t>
    </w:r>
    <w:hyperlink r:id="rId1" w:anchor="_blank" w:history="1">
      <w:r>
        <w:rPr>
          <w:rStyle w:val="Collegamentoipertestuale"/>
          <w:rFonts w:ascii="Arial" w:hAnsi="Arial"/>
        </w:rPr>
        <w:t>gela@legambienteparma.it</w:t>
      </w:r>
    </w:hyperlink>
    <w:r>
      <w:rPr>
        <w:rFonts w:ascii="Arial" w:hAnsi="Arial" w:cs="Arial"/>
        <w:sz w:val="20"/>
        <w:szCs w:val="20"/>
      </w:rPr>
      <w:t xml:space="preserve">  </w:t>
    </w:r>
  </w:p>
  <w:p w:rsidR="005E0CEE" w:rsidRPr="00411E7E" w:rsidRDefault="005E0CEE">
    <w:pPr>
      <w:jc w:val="center"/>
      <w:rPr>
        <w:rFonts w:ascii="Arial" w:hAnsi="Arial" w:cs="Arial"/>
        <w:b/>
        <w:i/>
        <w:iCs/>
        <w:color w:val="00FF00"/>
        <w:sz w:val="18"/>
        <w:szCs w:val="20"/>
      </w:rPr>
    </w:pPr>
    <w:r>
      <w:rPr>
        <w:rFonts w:ascii="Arial" w:hAnsi="Arial" w:cs="Arial"/>
        <w:sz w:val="20"/>
        <w:szCs w:val="20"/>
      </w:rPr>
      <w:t xml:space="preserve"> </w:t>
    </w:r>
    <w:proofErr w:type="gramStart"/>
    <w:r w:rsidRPr="00411E7E">
      <w:rPr>
        <w:rStyle w:val="Enfasicorsivo"/>
        <w:rFonts w:ascii="Arial" w:hAnsi="Arial" w:cs="Arial"/>
        <w:iCs/>
        <w:sz w:val="20"/>
        <w:szCs w:val="20"/>
      </w:rPr>
      <w:t>web</w:t>
    </w:r>
    <w:proofErr w:type="gramEnd"/>
    <w:r w:rsidRPr="00411E7E">
      <w:rPr>
        <w:rStyle w:val="Enfasicorsivo"/>
        <w:rFonts w:ascii="Arial" w:hAnsi="Arial" w:cs="Arial"/>
        <w:i w:val="0"/>
        <w:sz w:val="20"/>
        <w:szCs w:val="20"/>
      </w:rPr>
      <w:t>:</w:t>
    </w:r>
    <w:r w:rsidRPr="00411E7E">
      <w:rPr>
        <w:rFonts w:ascii="Arial" w:hAnsi="Arial" w:cs="Arial"/>
        <w:i/>
        <w:iCs/>
        <w:sz w:val="20"/>
        <w:szCs w:val="20"/>
      </w:rPr>
      <w:t xml:space="preserve"> </w:t>
    </w:r>
    <w:r w:rsidRPr="00411E7E">
      <w:rPr>
        <w:rFonts w:ascii="Arial" w:hAnsi="Arial" w:cs="Arial"/>
        <w:b/>
        <w:i/>
        <w:iCs/>
        <w:color w:val="00FF00"/>
        <w:sz w:val="18"/>
        <w:szCs w:val="20"/>
      </w:rPr>
      <w:t>http://www.legambienteparma.it/gela/</w:t>
    </w:r>
  </w:p>
  <w:p w:rsidR="005E0CEE" w:rsidRDefault="005E0CEE">
    <w:pPr>
      <w:jc w:val="center"/>
      <w:rPr>
        <w:rFonts w:ascii="Arial" w:hAnsi="Arial" w:cs="Arial"/>
        <w:sz w:val="20"/>
        <w:szCs w:val="20"/>
      </w:rPr>
    </w:pPr>
    <w:proofErr w:type="gramStart"/>
    <w:r>
      <w:rPr>
        <w:rStyle w:val="Enfasicorsivo"/>
        <w:rFonts w:ascii="Arial" w:hAnsi="Arial" w:cs="Arial"/>
        <w:iCs/>
        <w:sz w:val="20"/>
        <w:szCs w:val="20"/>
      </w:rPr>
      <w:t>codice</w:t>
    </w:r>
    <w:proofErr w:type="gramEnd"/>
    <w:r>
      <w:rPr>
        <w:rStyle w:val="Enfasicorsivo"/>
        <w:rFonts w:ascii="Arial" w:hAnsi="Arial" w:cs="Arial"/>
        <w:iCs/>
        <w:sz w:val="20"/>
        <w:szCs w:val="20"/>
      </w:rPr>
      <w:t xml:space="preserve"> fiscale:</w:t>
    </w:r>
    <w:r>
      <w:rPr>
        <w:rFonts w:ascii="Arial" w:hAnsi="Arial" w:cs="Arial"/>
        <w:sz w:val="20"/>
        <w:szCs w:val="20"/>
      </w:rPr>
      <w:t xml:space="preserve"> 92043850343 – </w:t>
    </w:r>
    <w:r>
      <w:rPr>
        <w:rStyle w:val="Enfasicorsivo"/>
        <w:rFonts w:ascii="Arial" w:hAnsi="Arial" w:cs="Arial"/>
        <w:iCs/>
        <w:sz w:val="20"/>
        <w:szCs w:val="20"/>
      </w:rPr>
      <w:t xml:space="preserve">iscrizione Registro Provinciale delle Organizzazioni di Volontariato: </w:t>
    </w:r>
    <w:r>
      <w:rPr>
        <w:rFonts w:ascii="Arial" w:hAnsi="Arial" w:cs="Arial"/>
        <w:sz w:val="20"/>
        <w:szCs w:val="20"/>
      </w:rPr>
      <w:t>n. 47/TA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F5" w:rsidRDefault="00D65BF5">
      <w:r>
        <w:separator/>
      </w:r>
    </w:p>
  </w:footnote>
  <w:footnote w:type="continuationSeparator" w:id="0">
    <w:p w:rsidR="00D65BF5" w:rsidRDefault="00D6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E" w:rsidRDefault="00D65BF5">
    <w:pPr>
      <w:pStyle w:val="Intestazione"/>
    </w:pPr>
    <w:r>
      <w:rPr>
        <w:noProof/>
        <w:lang w:eastAsia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7.6pt;height:203pt;rotation:315;z-index:-1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E" w:rsidRDefault="00D65BF5">
    <w:pPr>
      <w:pStyle w:val="Titolo8"/>
      <w:rPr>
        <w:color w:val="00FF00"/>
      </w:rPr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35pt;margin-top:-72.95pt;width:71.95pt;height:70.5pt;z-index:-3;mso-wrap-distance-left:9.05pt;mso-wrap-distance-right:9.05pt;mso-position-vertical-relative:margin" filled="t">
          <v:fill color2="black"/>
          <v:imagedata r:id="rId1" o:title=""/>
          <w10:wrap anchory="margin"/>
        </v:shape>
        <o:OLEObject Type="Embed" ProgID="Immagine" ShapeID="_x0000_s2050" DrawAspect="Content" ObjectID="_1506355838" r:id="rId2"/>
      </w:object>
    </w:r>
    <w:r w:rsidR="005E0CEE">
      <w:rPr>
        <w:color w:val="00FF00"/>
      </w:rPr>
      <w:t>Guardie Ecologiche Volontarie</w:t>
    </w:r>
  </w:p>
  <w:p w:rsidR="005E0CEE" w:rsidRDefault="005E0CEE">
    <w:pPr>
      <w:pStyle w:val="Titolo6"/>
      <w:rPr>
        <w:rFonts w:ascii="Verdana" w:hAnsi="Verdana"/>
      </w:rPr>
    </w:pPr>
    <w:r>
      <w:rPr>
        <w:rFonts w:ascii="Verdana" w:hAnsi="Verdana"/>
      </w:rPr>
      <w:t>Raggruppamento Legambiente</w:t>
    </w:r>
  </w:p>
  <w:p w:rsidR="005E0CEE" w:rsidRDefault="005E0CE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EE" w:rsidRDefault="00D65BF5">
    <w:pPr>
      <w:pStyle w:val="Intestazione"/>
    </w:pPr>
    <w:r>
      <w:rPr>
        <w:noProof/>
        <w:lang w:eastAsia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07.6pt;height:203pt;rotation:315;z-index:-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BOZ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43"/>
    <w:rsid w:val="0000281A"/>
    <w:rsid w:val="00012DE6"/>
    <w:rsid w:val="000503A6"/>
    <w:rsid w:val="00077DDA"/>
    <w:rsid w:val="00093815"/>
    <w:rsid w:val="001369CE"/>
    <w:rsid w:val="001E2C55"/>
    <w:rsid w:val="00231FD9"/>
    <w:rsid w:val="00242F43"/>
    <w:rsid w:val="002C5468"/>
    <w:rsid w:val="003536A3"/>
    <w:rsid w:val="00383A57"/>
    <w:rsid w:val="00411E7E"/>
    <w:rsid w:val="0046269F"/>
    <w:rsid w:val="00481B24"/>
    <w:rsid w:val="004C2C1E"/>
    <w:rsid w:val="005058C0"/>
    <w:rsid w:val="00520635"/>
    <w:rsid w:val="00540041"/>
    <w:rsid w:val="005514C3"/>
    <w:rsid w:val="00573C69"/>
    <w:rsid w:val="00594CB0"/>
    <w:rsid w:val="005E0CEE"/>
    <w:rsid w:val="005E1381"/>
    <w:rsid w:val="00607453"/>
    <w:rsid w:val="006144B4"/>
    <w:rsid w:val="006145CA"/>
    <w:rsid w:val="00642D56"/>
    <w:rsid w:val="006C1FDD"/>
    <w:rsid w:val="006C3695"/>
    <w:rsid w:val="00754C4A"/>
    <w:rsid w:val="007A3FEF"/>
    <w:rsid w:val="007B4AFE"/>
    <w:rsid w:val="007D50B8"/>
    <w:rsid w:val="00821FE3"/>
    <w:rsid w:val="00865015"/>
    <w:rsid w:val="008A00BD"/>
    <w:rsid w:val="008B5A19"/>
    <w:rsid w:val="008C582B"/>
    <w:rsid w:val="008E4094"/>
    <w:rsid w:val="008E42D7"/>
    <w:rsid w:val="008E5124"/>
    <w:rsid w:val="008E5D18"/>
    <w:rsid w:val="00946C4E"/>
    <w:rsid w:val="00950BF8"/>
    <w:rsid w:val="009B276C"/>
    <w:rsid w:val="00A36C00"/>
    <w:rsid w:val="00A62D40"/>
    <w:rsid w:val="00B415F5"/>
    <w:rsid w:val="00B50F89"/>
    <w:rsid w:val="00BE0199"/>
    <w:rsid w:val="00CA226C"/>
    <w:rsid w:val="00CA3088"/>
    <w:rsid w:val="00CC27A6"/>
    <w:rsid w:val="00D65BF5"/>
    <w:rsid w:val="00D66787"/>
    <w:rsid w:val="00DA0B7E"/>
    <w:rsid w:val="00DA2810"/>
    <w:rsid w:val="00E129A6"/>
    <w:rsid w:val="00E24D5C"/>
    <w:rsid w:val="00E36F1E"/>
    <w:rsid w:val="00E5682B"/>
    <w:rsid w:val="00E67D19"/>
    <w:rsid w:val="00EA00D0"/>
    <w:rsid w:val="00F61A89"/>
    <w:rsid w:val="00FE535F"/>
    <w:rsid w:val="287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BDD4EDC-2E63-4890-BDA4-21529BD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F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7DDA"/>
    <w:pPr>
      <w:keepNext/>
      <w:keepLines/>
      <w:suppressAutoHyphens w:val="0"/>
      <w:spacing w:before="200" w:line="36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7DDA"/>
    <w:pPr>
      <w:keepNext/>
      <w:keepLines/>
      <w:suppressAutoHyphens w:val="0"/>
      <w:spacing w:before="200" w:line="360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DDA"/>
    <w:pPr>
      <w:keepNext/>
      <w:keepLines/>
      <w:suppressAutoHyphens w:val="0"/>
      <w:spacing w:before="200" w:line="360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77DDA"/>
    <w:pPr>
      <w:keepNext/>
      <w:suppressAutoHyphens w:val="0"/>
      <w:outlineLvl w:val="5"/>
    </w:pPr>
    <w:rPr>
      <w:b/>
      <w:bCs/>
      <w:i/>
      <w:iCs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42F43"/>
    <w:pPr>
      <w:keepNext/>
      <w:spacing w:before="180"/>
      <w:jc w:val="center"/>
      <w:outlineLvl w:val="7"/>
    </w:pPr>
    <w:rPr>
      <w:rFonts w:ascii="Verdana" w:hAnsi="Verdana"/>
      <w:b/>
      <w:smallCaps/>
      <w:spacing w:val="20"/>
      <w:sz w:val="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77DDA"/>
    <w:pPr>
      <w:keepNext/>
      <w:keepLines/>
      <w:suppressAutoHyphens w:val="0"/>
      <w:spacing w:before="200" w:line="36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77D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semiHidden/>
    <w:locked/>
    <w:rsid w:val="00077DDA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semiHidden/>
    <w:locked/>
    <w:rsid w:val="00077DDA"/>
    <w:rPr>
      <w:rFonts w:ascii="Cambria" w:hAnsi="Cambria" w:cs="Times New Roman"/>
      <w:b/>
      <w:bCs/>
      <w:i/>
      <w:iCs/>
      <w:color w:val="4F81BD"/>
    </w:rPr>
  </w:style>
  <w:style w:type="character" w:customStyle="1" w:styleId="Titolo6Carattere">
    <w:name w:val="Titolo 6 Carattere"/>
    <w:link w:val="Titolo6"/>
    <w:uiPriority w:val="99"/>
    <w:locked/>
    <w:rsid w:val="00077DDA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242F43"/>
    <w:rPr>
      <w:rFonts w:ascii="Verdana" w:hAnsi="Verdana" w:cs="Times New Roman"/>
      <w:b/>
      <w:smallCaps/>
      <w:spacing w:val="20"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077DDA"/>
    <w:rPr>
      <w:rFonts w:ascii="Cambria" w:hAnsi="Cambria" w:cs="Times New Roman"/>
      <w:i/>
      <w:iCs/>
      <w:color w:val="404040"/>
      <w:sz w:val="20"/>
      <w:szCs w:val="20"/>
    </w:rPr>
  </w:style>
  <w:style w:type="paragraph" w:styleId="Nessunaspaziatura">
    <w:name w:val="No Spacing"/>
    <w:link w:val="NessunaspaziaturaCarattere"/>
    <w:uiPriority w:val="99"/>
    <w:qFormat/>
    <w:rsid w:val="00077DDA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077DDA"/>
    <w:rPr>
      <w:rFonts w:eastAsia="Times New Roman" w:cs="Times New Roman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99"/>
    <w:qFormat/>
    <w:rsid w:val="00077DDA"/>
    <w:pPr>
      <w:suppressAutoHyphens w:val="0"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semiHidden/>
    <w:rsid w:val="00242F43"/>
    <w:rPr>
      <w:rFonts w:cs="Times New Roman"/>
      <w:color w:val="003366"/>
      <w:u w:val="none"/>
    </w:rPr>
  </w:style>
  <w:style w:type="character" w:styleId="Enfasicorsivo">
    <w:name w:val="Emphasis"/>
    <w:uiPriority w:val="99"/>
    <w:qFormat/>
    <w:rsid w:val="00242F43"/>
    <w:rPr>
      <w:rFonts w:cs="Times New Roman"/>
      <w:i/>
    </w:rPr>
  </w:style>
  <w:style w:type="paragraph" w:styleId="Corpotesto">
    <w:name w:val="Body Text"/>
    <w:basedOn w:val="Normale"/>
    <w:link w:val="CorpotestoCarattere"/>
    <w:uiPriority w:val="99"/>
    <w:semiHidden/>
    <w:rsid w:val="00242F43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42F43"/>
    <w:rPr>
      <w:rFonts w:ascii="Verdana" w:hAnsi="Verdan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242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42F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Didascalia">
    <w:name w:val="caption"/>
    <w:basedOn w:val="Normale"/>
    <w:next w:val="Normale"/>
    <w:uiPriority w:val="99"/>
    <w:qFormat/>
    <w:rsid w:val="00242F43"/>
    <w:pPr>
      <w:keepLines/>
      <w:autoSpaceDE w:val="0"/>
      <w:jc w:val="center"/>
    </w:pPr>
    <w:rPr>
      <w:rFonts w:ascii="Book Antiqua" w:hAnsi="Book Antiqua"/>
      <w:b/>
      <w:bCs/>
      <w:i/>
      <w:iCs/>
      <w:color w:val="3D9157"/>
      <w:sz w:val="22"/>
      <w:szCs w:val="22"/>
      <w:u w:val="single"/>
    </w:rPr>
  </w:style>
  <w:style w:type="paragraph" w:styleId="Sommario1">
    <w:name w:val="toc 1"/>
    <w:basedOn w:val="Normale"/>
    <w:next w:val="Normale"/>
    <w:uiPriority w:val="99"/>
    <w:semiHidden/>
    <w:rsid w:val="002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la@legambienteparm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PER</vt:lpstr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PER</dc:title>
  <dc:subject/>
  <dc:creator>pb</dc:creator>
  <cp:keywords/>
  <dc:description/>
  <cp:lastModifiedBy>Alessandra Uni</cp:lastModifiedBy>
  <cp:revision>13</cp:revision>
  <cp:lastPrinted>2015-10-08T15:38:00Z</cp:lastPrinted>
  <dcterms:created xsi:type="dcterms:W3CDTF">2015-10-08T14:18:00Z</dcterms:created>
  <dcterms:modified xsi:type="dcterms:W3CDTF">2015-10-14T17:24:00Z</dcterms:modified>
</cp:coreProperties>
</file>